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CC" w:rsidRPr="00AF2DCC" w:rsidRDefault="00AF2DCC" w:rsidP="00AF2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F2D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Положение об </w:t>
      </w:r>
      <w:proofErr w:type="spellStart"/>
      <w:r w:rsidRPr="00AF2D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политике</w:t>
      </w:r>
    </w:p>
    <w:p w:rsidR="00B67436" w:rsidRDefault="00B67436" w:rsidP="00AF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7436" w:rsidRDefault="00B67436" w:rsidP="00B674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7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inline distT="0" distB="0" distL="0" distR="0">
            <wp:extent cx="5940425" cy="1443027"/>
            <wp:effectExtent l="19050" t="0" r="3175" b="0"/>
            <wp:docPr id="3" name="Рисунок 1" descr="C:\Users\1\Desktop\пол.19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.19г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DCC" w:rsidRPr="00AF2DCC" w:rsidRDefault="00AF2DCC" w:rsidP="00AF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AF2DCC" w:rsidRPr="00AF2DCC" w:rsidRDefault="00AF2DCC" w:rsidP="00AF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proofErr w:type="spellStart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политике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7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казенной общеобразовательной</w:t>
      </w:r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77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7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«Центр образования </w:t>
      </w:r>
      <w:proofErr w:type="spellStart"/>
      <w:r w:rsidR="00777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им.В.Г.Ардзинба</w:t>
      </w:r>
      <w:proofErr w:type="spellEnd"/>
      <w:r w:rsidR="00777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77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="00777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 w:rsidR="00777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ара-Паго</w:t>
      </w:r>
      <w:proofErr w:type="spellEnd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2DCC" w:rsidRPr="00AF2DCC" w:rsidRDefault="00AF2DCC" w:rsidP="00AF2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положения  внедрения </w:t>
      </w:r>
      <w:proofErr w:type="spellStart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</w:t>
      </w:r>
    </w:p>
    <w:p w:rsidR="00AF2DCC" w:rsidRPr="00AF2DCC" w:rsidRDefault="0077714A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 МКОО «Центр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им.В.Г.Ардзинба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ара-Паго</w:t>
      </w:r>
      <w:proofErr w:type="spellEnd"/>
      <w:r w:rsidR="00AF2DCC"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AF2DCC" w:rsidRPr="00AF2DCC" w:rsidRDefault="00AF2DCC" w:rsidP="00AF2DC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273-ФЗ),  Нормативными актами, регулирующими 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политику школы, являются также Закон «Об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AF2DCC">
        <w:rPr>
          <w:rFonts w:hAnsi="Symbol"/>
        </w:rPr>
        <w:t xml:space="preserve"> </w:t>
      </w:r>
      <w:r w:rsidRPr="00AF2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0F5"/>
          <w:lang w:eastAsia="ru-RU"/>
        </w:rPr>
        <w:t>Федеральный закон</w:t>
      </w:r>
      <w:r w:rsidRPr="00AF2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0F5"/>
          <w:lang w:eastAsia="ru-RU"/>
        </w:rPr>
        <w:t xml:space="preserve"> от 17.07.2009 № 172-ФЗ «Об </w:t>
      </w:r>
      <w:proofErr w:type="spellStart"/>
      <w:r w:rsidRPr="00AF2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0F5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0F5"/>
          <w:lang w:eastAsia="ru-RU"/>
        </w:rPr>
        <w:t xml:space="preserve"> экспертизе нормативных правовых актов и проектов нормативных правовых актов»;</w:t>
      </w:r>
      <w:r w:rsidRPr="00AF2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AF2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0F5"/>
          <w:lang w:eastAsia="ru-RU"/>
        </w:rPr>
        <w:t xml:space="preserve">постановления Правительства Российской Федерации от 26.02.2010 № 96 «Об </w:t>
      </w:r>
      <w:proofErr w:type="spellStart"/>
      <w:r w:rsidRPr="00AF2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0F5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0F5"/>
          <w:lang w:eastAsia="ru-RU"/>
        </w:rPr>
        <w:t xml:space="preserve"> экспертизе нормативных правовых актов и проектов нормативных</w:t>
      </w:r>
      <w:r w:rsidRPr="00AF2DCC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0F5"/>
          <w:lang w:eastAsia="ru-RU"/>
        </w:rPr>
        <w:t xml:space="preserve"> </w:t>
      </w:r>
      <w:r w:rsidRPr="00AF2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0F5"/>
          <w:lang w:eastAsia="ru-RU"/>
        </w:rPr>
        <w:t>правовых актов»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«О контрактной системе в сфере закупок товаров, работ, услуг для обеспечения государственных и муниципальных нужд», Устав и другие локальные акты.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ст.13.3  Федерального закона № 273-ФЗ меры по предупреждению коррупции, принимаемые в организации, могут включать: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определение подразделений или должностных лиц, ответственных за профилактику коррупционных и иных правонарушений;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сотрудничество организации с правоохранительными органами;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разработку и внедрение в практику стандартов и процедур, направленных на обеспечение добросовестной работы организации;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принятие кодекса этики и служебного поведения работников организации;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предотвращение и урегулирование конфликта интересов;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недопущение составления неофициальной отчетности и использования поддельных документов.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школы направлена на реализацию данных мер.</w:t>
      </w:r>
    </w:p>
    <w:p w:rsidR="00AF2DCC" w:rsidRPr="00AF2DCC" w:rsidRDefault="00AF2DCC" w:rsidP="00AF2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в политике понятия и определения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Коррупция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 Противодействие коррупции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Федеральный закон № 273-ФЗ):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по предупреждению коррупции, в том числе по выявлению и последующему устранению причин коррупции (профилактика коррупции);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по выявлению, предупреждению, пресечению, раскрытию и расследованию коррупционных правонарушений (борьба с коррупцией);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по минимизации и (или) ликвидации последствий коррупционных правонарушений.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 Организация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юридическое лицо независимо от формы собственности, организационно-правовой формы и отраслевой принадлежности.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 Контрагент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 </w:t>
      </w:r>
      <w:proofErr w:type="gramStart"/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Взятка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 </w:t>
      </w:r>
      <w:proofErr w:type="gramStart"/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Коммерческий подкуп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 </w:t>
      </w:r>
      <w:proofErr w:type="gramStart"/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Конфликт интересов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(представителем организации) которой он является.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 Личная заинтересованность работника (представителя организации)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F2DCC" w:rsidRPr="00AF2DCC" w:rsidRDefault="00AF2DCC" w:rsidP="00AF2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принципы </w:t>
      </w:r>
      <w:proofErr w:type="spellStart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деятельности организации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мер противодействия коррупции в школе основываться на следующих ключевых принципах:</w:t>
      </w:r>
    </w:p>
    <w:p w:rsidR="00AF2DCC" w:rsidRPr="00AF2DCC" w:rsidRDefault="00AF2DCC" w:rsidP="00AF2D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соответствия политики организации действующему законодательству и общепринятым нормам.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реализуемых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AF2DCC" w:rsidRPr="00AF2DCC" w:rsidRDefault="00AF2DCC" w:rsidP="00AF2D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личного примера руководства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AF2DCC" w:rsidRPr="00AF2DCC" w:rsidRDefault="00AF2DCC" w:rsidP="00AF2D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вовлеченности работников.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Информированность работников организации о положениях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процедур.</w:t>
      </w:r>
    </w:p>
    <w:p w:rsidR="00AF2DCC" w:rsidRPr="00AF2DCC" w:rsidRDefault="00AF2DCC" w:rsidP="00AF2D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 соразмерности </w:t>
      </w:r>
      <w:proofErr w:type="spellStart"/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антикоррупционных</w:t>
      </w:r>
      <w:proofErr w:type="spellEnd"/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процедур риску коррупции.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AF2DCC" w:rsidRPr="00AF2DCC" w:rsidRDefault="00AF2DCC" w:rsidP="00AF2D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 эффективности  </w:t>
      </w:r>
      <w:proofErr w:type="spellStart"/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антикоррупционных</w:t>
      </w:r>
      <w:proofErr w:type="spellEnd"/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процедур.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в организации таких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приносят значимый результат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DCC" w:rsidRPr="00AF2DCC" w:rsidRDefault="00AF2DCC" w:rsidP="00AF2D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ответственности и неотвратимости наказания.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AF2DCC" w:rsidRPr="00AF2DCC" w:rsidRDefault="00AF2DCC" w:rsidP="00AF2D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открытости  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Информирование контрагентов, партнеров и общественности о принятых в организации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стандартах ведения деятельности.</w:t>
      </w:r>
    </w:p>
    <w:p w:rsidR="00AF2DCC" w:rsidRPr="00AF2DCC" w:rsidRDefault="00AF2DCC" w:rsidP="00AF2D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постоянного контроля и регулярного мониторинга.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процедур, а также </w:t>
      </w:r>
      <w:proofErr w:type="gram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исполнением.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 </w:t>
      </w:r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Область применения политики и круг лиц, попадающих под ее действие.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школы работы или предоставляющие услуги на основе гражданско-правовых договоров.  В этом случае соответствующие положения включаются в текст договоров.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 Определение должностных лиц школы, ответственных за реализацию </w:t>
      </w:r>
      <w:proofErr w:type="spellStart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политики.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Задачи, функции и полномочия   директора в сфере противодействия коррупции определены его Должностной инструкцией.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 обязанности  включают в частности:</w:t>
      </w:r>
    </w:p>
    <w:p w:rsidR="00AF2DCC" w:rsidRPr="00AF2DCC" w:rsidRDefault="00AF2DCC" w:rsidP="00AF2D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 локальных нормативных актов организации, направленных на реализацию мер по предупреждению коррупции (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кодекса этики и служебного поведения работников и т.д.);</w:t>
      </w:r>
    </w:p>
    <w:p w:rsidR="00AF2DCC" w:rsidRPr="00AF2DCC" w:rsidRDefault="00AF2DCC" w:rsidP="00AF2D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AF2DCC" w:rsidRPr="00AF2DCC" w:rsidRDefault="00AF2DCC" w:rsidP="00AF2D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проведения оценки коррупционных рисков;</w:t>
      </w:r>
    </w:p>
    <w:p w:rsidR="00AF2DCC" w:rsidRPr="00AF2DCC" w:rsidRDefault="00AF2DCC" w:rsidP="00AF2D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AF2DCC" w:rsidRPr="00AF2DCC" w:rsidRDefault="00AF2DCC" w:rsidP="00AF2D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заполнения и рассмотрения деклараций о конфликте интересов;</w:t>
      </w:r>
    </w:p>
    <w:p w:rsidR="00AF2DCC" w:rsidRPr="00AF2DCC" w:rsidRDefault="00AF2DCC" w:rsidP="00AF2D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AF2DCC" w:rsidRPr="00AF2DCC" w:rsidRDefault="00AF2DCC" w:rsidP="00AF2D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AF2DCC" w:rsidRPr="00AF2DCC" w:rsidRDefault="00AF2DCC" w:rsidP="00AF2D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AF2DCC" w:rsidRPr="00AF2DCC" w:rsidRDefault="00AF2DCC" w:rsidP="00AF2D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оценки результатов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 подготовка соответствующих отчетных материалов Учредителю.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6.  Определение и закрепление обязанностей работников в организации, связанных с предупреждением и противодействием коррупции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Общими обязанностями работников в связи с предупреждением и противодействием коррупции являются следующие:</w:t>
      </w:r>
    </w:p>
    <w:p w:rsidR="00AF2DCC" w:rsidRPr="00AF2DCC" w:rsidRDefault="00AF2DCC" w:rsidP="00AF2D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AF2DCC" w:rsidRPr="00AF2DCC" w:rsidRDefault="00AF2DCC" w:rsidP="00AF2D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совершить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участвовать в совершении коррупционного правонарушения в интересах или от имени школы;</w:t>
      </w:r>
    </w:p>
    <w:p w:rsidR="00AF2DCC" w:rsidRPr="00AF2DCC" w:rsidRDefault="00AF2DCC" w:rsidP="00AF2D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AF2DCC" w:rsidRPr="00AF2DCC" w:rsidRDefault="00AF2DCC" w:rsidP="00AF2D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информировать непосредственного начальника, руководство организации о ставшей известной  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AF2DCC" w:rsidRPr="00AF2DCC" w:rsidRDefault="00AF2DCC" w:rsidP="00AF2D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непосредственному директору или иному ответственному лицу о возможности возникновения либо возникшем у работника конфликте интересов.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эффективного исполнения возложенных на работников обязанностей   регламентируются процедуры их соблюдения.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7. Установление перечня реализуемых  школой </w:t>
      </w:r>
      <w:proofErr w:type="spellStart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антикоррупционных</w:t>
      </w:r>
      <w:proofErr w:type="spellEnd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мероприятий, стандартов и процедур и  порядок их выполнения (применения)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6"/>
        <w:gridCol w:w="6579"/>
      </w:tblGrid>
      <w:tr w:rsidR="00AF2DCC" w:rsidRPr="00AF2DCC" w:rsidTr="00AF2DCC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2880" w:type="dxa"/>
            <w:vMerge w:val="restart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оговорки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2880" w:type="dxa"/>
            <w:vMerge w:val="restart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введение специальных </w:t>
            </w:r>
            <w:proofErr w:type="spellStart"/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процедуры информирования работодателя о ставшей известной работнику информации о случаях совершения </w:t>
            </w: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коррупционных правонарушений другими работниками, контрагентами организации или иными лицами и  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AF2DCC" w:rsidRPr="00AF2DCC" w:rsidTr="00AF2D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2880" w:type="dxa"/>
            <w:vMerge w:val="restart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ознакомление работников под роспись с приказом, регламентирующим</w:t>
            </w: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вопросы предупреждения и противодействия коррупции в организации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стандартов и процедур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2880" w:type="dxa"/>
            <w:vMerge w:val="restart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2880" w:type="dxa"/>
            <w:vMerge w:val="restart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проводимой </w:t>
            </w:r>
            <w:proofErr w:type="spellStart"/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AF2DCC" w:rsidRPr="00AF2DCC" w:rsidTr="00AF2D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vAlign w:val="center"/>
            <w:hideMark/>
          </w:tcPr>
          <w:p w:rsidR="00AF2DCC" w:rsidRPr="00AF2DCC" w:rsidRDefault="00AF2DCC" w:rsidP="00AF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  приложения к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в школе ежегодно утверждается план реализации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8. Оценка коррупционных рисков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оценки коррупционных рисков является определение конкретных  процессов и видов деятельности школы, при реализации которых наиболее высока вероятность совершения работниками организации коррупционных </w:t>
      </w:r>
      <w:proofErr w:type="gram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целях получения личной выгоды, так и в целях получения выгоды организацией.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коррупционных рисков является важнейшим элементом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политики. Она позволяет обеспечить соответствие реализуемых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 Оценка коррупционных рисков  проводится как на стадии разработки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так и после ее утверждения на регулярной основе и оформляется Приложением к данному документу.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проведения оценки коррупционных рисков:</w:t>
      </w:r>
    </w:p>
    <w:p w:rsidR="00AF2DCC" w:rsidRPr="00AF2DCC" w:rsidRDefault="00AF2DCC" w:rsidP="00AF2D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деятельность организации в виде отдельных  процессов, в каждом из которых выделить составные элементы (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подпроцессы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F2DCC" w:rsidRPr="00AF2DCC" w:rsidRDefault="00AF2DCC" w:rsidP="00AF2D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«критические точки» — для каждого  процесса и определить те элементы (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подпроцессы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AF2DCC" w:rsidRPr="00AF2DCC" w:rsidRDefault="00AF2DCC" w:rsidP="00AF2D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каждого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подпроцесса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вероятные формы осуществления коррупционных платежей.</w:t>
      </w:r>
    </w:p>
    <w:p w:rsidR="00AF2DCC" w:rsidRPr="00AF2DCC" w:rsidRDefault="00AF2DCC" w:rsidP="00AF2D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проведенного анализа подготовить «карту коррупционных рисков организации» — сводное описание «критических точек» и возможных коррупционных правонарушений.</w:t>
      </w:r>
    </w:p>
    <w:p w:rsidR="00AF2DCC" w:rsidRPr="00AF2DCC" w:rsidRDefault="00AF2DCC" w:rsidP="00AF2D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Разработать комплекс мер по устранению или минимизации коррупционных рисков.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 Ответственность  сотрудников за несоблюдение требований </w:t>
      </w:r>
      <w:proofErr w:type="spellStart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целью регулирования и предотвращения конфликта интересов в деятельности своих работников в школе действует </w:t>
      </w:r>
      <w:hyperlink r:id="rId6" w:history="1">
        <w:r w:rsidRPr="00AF2D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 о</w:t>
        </w:r>
      </w:hyperlink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конфликте интересов.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положение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  В него включены следующие аспекты:</w:t>
      </w:r>
    </w:p>
    <w:p w:rsidR="00AF2DCC" w:rsidRPr="00AF2DCC" w:rsidRDefault="00AF2DCC" w:rsidP="00AF2D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Положения о конфликте интересов;</w:t>
      </w:r>
    </w:p>
    <w:p w:rsidR="00AF2DCC" w:rsidRPr="00AF2DCC" w:rsidRDefault="00AF2DCC" w:rsidP="00AF2D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в положении понятия и определения;</w:t>
      </w:r>
    </w:p>
    <w:p w:rsidR="00AF2DCC" w:rsidRPr="00AF2DCC" w:rsidRDefault="00AF2DCC" w:rsidP="00AF2D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лиц, попадающих под действие положения;</w:t>
      </w:r>
    </w:p>
    <w:p w:rsidR="00AF2DCC" w:rsidRPr="00AF2DCC" w:rsidRDefault="00AF2DCC" w:rsidP="00AF2D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управления конфликтом интересов в организации;</w:t>
      </w:r>
    </w:p>
    <w:p w:rsidR="00AF2DCC" w:rsidRPr="00AF2DCC" w:rsidRDefault="00AF2DCC" w:rsidP="00AF2D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AF2DCC" w:rsidRPr="00AF2DCC" w:rsidRDefault="00AF2DCC" w:rsidP="00AF2D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обязанности работников в связи с раскрытием и урегулированием конфликта интересов;</w:t>
      </w:r>
    </w:p>
    <w:p w:rsidR="00AF2DCC" w:rsidRPr="00AF2DCC" w:rsidRDefault="00AF2DCC" w:rsidP="00AF2D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AF2DCC" w:rsidRPr="00AF2DCC" w:rsidRDefault="00AF2DCC" w:rsidP="00AF2D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работников за несоблюдение положения о конфликте интересов.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работы по управлению конфликтом интересов в организации могут быть положены следующие принципы:</w:t>
      </w:r>
    </w:p>
    <w:p w:rsidR="00AF2DCC" w:rsidRPr="00AF2DCC" w:rsidRDefault="00AF2DCC" w:rsidP="00AF2D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AF2DCC" w:rsidRPr="00AF2DCC" w:rsidRDefault="00AF2DCC" w:rsidP="00AF2D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рассмотрение и оценка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репутационных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для организации при выявлении каждого конфликта интересов и его урегулирование;</w:t>
      </w:r>
    </w:p>
    <w:p w:rsidR="00AF2DCC" w:rsidRPr="00AF2DCC" w:rsidRDefault="00AF2DCC" w:rsidP="00AF2D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AF2DCC" w:rsidRPr="00AF2DCC" w:rsidRDefault="00AF2DCC" w:rsidP="00AF2D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баланса интересов организации и работника при урегулировании конфликта интересов;</w:t>
      </w:r>
    </w:p>
    <w:p w:rsidR="00AF2DCC" w:rsidRPr="00AF2DCC" w:rsidRDefault="00AF2DCC" w:rsidP="00AF2D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Обязанности работников в связи с раскрытием и урегулированием конфликта интересов: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AF2DCC" w:rsidRPr="00AF2DCC" w:rsidRDefault="00AF2DCC" w:rsidP="00AF2D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AF2DCC" w:rsidRPr="00AF2DCC" w:rsidRDefault="00AF2DCC" w:rsidP="00AF2D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возникший (реальный) или потенциальный конфликт интересов;</w:t>
      </w:r>
    </w:p>
    <w:p w:rsidR="00AF2DCC" w:rsidRPr="00AF2DCC" w:rsidRDefault="00AF2DCC" w:rsidP="00AF2D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урегулированию возникшего конфликта интересов.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организации возможно установление различных видов раскрытия конфликта интересов, в том числе:</w:t>
      </w:r>
    </w:p>
    <w:p w:rsidR="00AF2DCC" w:rsidRPr="00AF2DCC" w:rsidRDefault="00AF2DCC" w:rsidP="00AF2D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при приеме на работу;</w:t>
      </w:r>
    </w:p>
    <w:p w:rsidR="00AF2DCC" w:rsidRPr="00AF2DCC" w:rsidRDefault="00AF2DCC" w:rsidP="00AF2D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при назначении на новую должность;</w:t>
      </w:r>
    </w:p>
    <w:p w:rsidR="00AF2DCC" w:rsidRPr="00AF2DCC" w:rsidRDefault="00AF2DCC" w:rsidP="00AF2D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разовое раскрытие сведений по мере возникновения ситуаций конфликта интересов.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Школа берёт на себя обязательство конфиденциального рассмотрения представленных сведений и урегулирования конфликта интересов.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AF2DCC" w:rsidRPr="00AF2DCC" w:rsidRDefault="00AF2DCC" w:rsidP="00AF2D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ограничение доступа работника к конкретной информации, которая может затрагивать личные интересы работника;</w:t>
      </w:r>
    </w:p>
    <w:p w:rsidR="00AF2DCC" w:rsidRPr="00AF2DCC" w:rsidRDefault="00AF2DCC" w:rsidP="00AF2D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F2DCC" w:rsidRPr="00AF2DCC" w:rsidRDefault="00AF2DCC" w:rsidP="00AF2D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 и изменение функциональных обязанностей работника;</w:t>
      </w:r>
    </w:p>
    <w:p w:rsidR="00AF2DCC" w:rsidRPr="00AF2DCC" w:rsidRDefault="00AF2DCC" w:rsidP="00AF2D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AF2DCC" w:rsidRPr="00AF2DCC" w:rsidRDefault="00AF2DCC" w:rsidP="00AF2D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AF2DCC" w:rsidRPr="00AF2DCC" w:rsidRDefault="00AF2DCC" w:rsidP="00AF2D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AF2DCC" w:rsidRPr="00AF2DCC" w:rsidRDefault="00AF2DCC" w:rsidP="00AF2D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работника от своего личного интереса, порождающего конфликт с интересами организации;</w:t>
      </w:r>
    </w:p>
    <w:p w:rsidR="00AF2DCC" w:rsidRPr="00AF2DCC" w:rsidRDefault="00AF2DCC" w:rsidP="00AF2D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работника из организации по инициативе работника;</w:t>
      </w:r>
    </w:p>
    <w:p w:rsidR="00AF2DCC" w:rsidRPr="00AF2DCC" w:rsidRDefault="00AF2DCC" w:rsidP="00AF2D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2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Ответственными за прием сведений о возникающих (имеющихся) конфликтах интересов  являются  сотрудник кадровой службы, директор. Рассмотрение полученной информации целесообразно проводить коллегиально.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должно проводиться </w:t>
      </w:r>
      <w:proofErr w:type="gram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работников по вопросам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и противодействия коррупции. Цели и задачи обучения определяют тематику и форму занятий. Обучение  проводится по следующей тематике:</w:t>
      </w:r>
    </w:p>
    <w:p w:rsidR="00AF2DCC" w:rsidRPr="00AF2DCC" w:rsidRDefault="00AF2DCC" w:rsidP="00AF2D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 в государственном и частном секторах экономики (теоретическая);</w:t>
      </w:r>
    </w:p>
    <w:p w:rsidR="00AF2DCC" w:rsidRPr="00AF2DCC" w:rsidRDefault="00AF2DCC" w:rsidP="00AF2D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ответственность за совершение коррупционных правонарушений;</w:t>
      </w:r>
    </w:p>
    <w:p w:rsidR="00AF2DCC" w:rsidRPr="00AF2DCC" w:rsidRDefault="00AF2DCC" w:rsidP="00AF2D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F2DCC" w:rsidRPr="00AF2DCC" w:rsidRDefault="00AF2DCC" w:rsidP="00AF2D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разрешение конфликта интересов при выполнении трудовых обязанностей (</w:t>
      </w:r>
      <w:proofErr w:type="gram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F2DCC" w:rsidRPr="00AF2DCC" w:rsidRDefault="00AF2DCC" w:rsidP="00AF2D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AF2DCC" w:rsidRPr="00AF2DCC" w:rsidRDefault="00AF2DCC" w:rsidP="00AF2D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Возможны следующие виды обучения:</w:t>
      </w:r>
    </w:p>
    <w:p w:rsidR="00AF2DCC" w:rsidRPr="00AF2DCC" w:rsidRDefault="00AF2DCC" w:rsidP="00AF2D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вопросам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AF2DCC" w:rsidRPr="00AF2DCC" w:rsidRDefault="00AF2DCC" w:rsidP="00AF2D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AF2DCC" w:rsidRPr="00AF2DCC" w:rsidRDefault="00AF2DCC" w:rsidP="00AF2D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AF2DCC" w:rsidRPr="00AF2DCC" w:rsidRDefault="00AF2DCC" w:rsidP="00AF2D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обучение в случае выявления провалов в реализации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 вопросам противодействия коррупции обычно осуществляется в индивидуальном порядке.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6 декабря 2011 г. № 402-ФЗ</w:t>
      </w: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реализуемой организацией, в том числе:</w:t>
      </w:r>
    </w:p>
    <w:p w:rsidR="00AF2DCC" w:rsidRPr="00AF2DCC" w:rsidRDefault="00AF2DCC" w:rsidP="00AF2D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AF2DCC" w:rsidRPr="00AF2DCC" w:rsidRDefault="00AF2DCC" w:rsidP="00AF2D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документирования операций хозяйственной деятельности организации;</w:t>
      </w:r>
    </w:p>
    <w:p w:rsidR="00AF2DCC" w:rsidRPr="00AF2DCC" w:rsidRDefault="00AF2DCC" w:rsidP="00AF2D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экономической обоснованности осуществляемых операций в сферах коррупционного риска.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документирования операций хозяйственной </w:t>
      </w:r>
      <w:proofErr w:type="gram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9.Порядок пересмотра и внесения изменений в </w:t>
      </w:r>
      <w:proofErr w:type="spellStart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антикоррупционную</w:t>
      </w:r>
      <w:proofErr w:type="spellEnd"/>
      <w:r w:rsidRPr="00AF2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политику организации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антикоррупционной</w:t>
      </w:r>
      <w:proofErr w:type="spellEnd"/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может осуществляться путем разработки дополнений и приложений к данному акту.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DCC" w:rsidRPr="00AF2DCC" w:rsidRDefault="00AF2DCC" w:rsidP="00AF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1407" w:rsidRDefault="00571407"/>
    <w:sectPr w:rsidR="00571407" w:rsidSect="0057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DAC"/>
    <w:multiLevelType w:val="multilevel"/>
    <w:tmpl w:val="46604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B2480"/>
    <w:multiLevelType w:val="multilevel"/>
    <w:tmpl w:val="FB6E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71B40"/>
    <w:multiLevelType w:val="multilevel"/>
    <w:tmpl w:val="5290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0710E"/>
    <w:multiLevelType w:val="multilevel"/>
    <w:tmpl w:val="0A00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601F1"/>
    <w:multiLevelType w:val="multilevel"/>
    <w:tmpl w:val="6B6A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84C4F"/>
    <w:multiLevelType w:val="multilevel"/>
    <w:tmpl w:val="8CFE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3D7BDB"/>
    <w:multiLevelType w:val="multilevel"/>
    <w:tmpl w:val="C920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E63E8"/>
    <w:multiLevelType w:val="multilevel"/>
    <w:tmpl w:val="A0C6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7C66D7"/>
    <w:multiLevelType w:val="multilevel"/>
    <w:tmpl w:val="036C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35328"/>
    <w:multiLevelType w:val="multilevel"/>
    <w:tmpl w:val="C07E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FC210D"/>
    <w:multiLevelType w:val="multilevel"/>
    <w:tmpl w:val="3E0A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70695"/>
    <w:multiLevelType w:val="multilevel"/>
    <w:tmpl w:val="6884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A44FF"/>
    <w:multiLevelType w:val="multilevel"/>
    <w:tmpl w:val="68D0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4969DA"/>
    <w:multiLevelType w:val="multilevel"/>
    <w:tmpl w:val="567C6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182671"/>
    <w:multiLevelType w:val="multilevel"/>
    <w:tmpl w:val="CBA2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68C9"/>
    <w:multiLevelType w:val="multilevel"/>
    <w:tmpl w:val="4DF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CF3545"/>
    <w:multiLevelType w:val="multilevel"/>
    <w:tmpl w:val="C0D4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D4550F"/>
    <w:multiLevelType w:val="multilevel"/>
    <w:tmpl w:val="E6A2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2C6C87"/>
    <w:multiLevelType w:val="multilevel"/>
    <w:tmpl w:val="6ACC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9F168C"/>
    <w:multiLevelType w:val="multilevel"/>
    <w:tmpl w:val="7342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105DA3"/>
    <w:multiLevelType w:val="multilevel"/>
    <w:tmpl w:val="E95C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4934B2"/>
    <w:multiLevelType w:val="multilevel"/>
    <w:tmpl w:val="A23A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55F5A"/>
    <w:multiLevelType w:val="multilevel"/>
    <w:tmpl w:val="7128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330240"/>
    <w:multiLevelType w:val="multilevel"/>
    <w:tmpl w:val="20B6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344597"/>
    <w:multiLevelType w:val="multilevel"/>
    <w:tmpl w:val="CB28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B57111"/>
    <w:multiLevelType w:val="multilevel"/>
    <w:tmpl w:val="D652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950CDB"/>
    <w:multiLevelType w:val="multilevel"/>
    <w:tmpl w:val="D7CC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A12F10"/>
    <w:multiLevelType w:val="multilevel"/>
    <w:tmpl w:val="650A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145E15"/>
    <w:multiLevelType w:val="multilevel"/>
    <w:tmpl w:val="2EE8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7A1E26"/>
    <w:multiLevelType w:val="multilevel"/>
    <w:tmpl w:val="7DE6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D91B54"/>
    <w:multiLevelType w:val="multilevel"/>
    <w:tmpl w:val="566A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20"/>
  </w:num>
  <w:num w:numId="5">
    <w:abstractNumId w:val="17"/>
  </w:num>
  <w:num w:numId="6">
    <w:abstractNumId w:val="19"/>
  </w:num>
  <w:num w:numId="7">
    <w:abstractNumId w:val="8"/>
  </w:num>
  <w:num w:numId="8">
    <w:abstractNumId w:val="24"/>
  </w:num>
  <w:num w:numId="9">
    <w:abstractNumId w:val="1"/>
  </w:num>
  <w:num w:numId="10">
    <w:abstractNumId w:val="27"/>
  </w:num>
  <w:num w:numId="11">
    <w:abstractNumId w:val="30"/>
  </w:num>
  <w:num w:numId="12">
    <w:abstractNumId w:val="23"/>
  </w:num>
  <w:num w:numId="13">
    <w:abstractNumId w:val="15"/>
  </w:num>
  <w:num w:numId="14">
    <w:abstractNumId w:val="10"/>
  </w:num>
  <w:num w:numId="15">
    <w:abstractNumId w:val="28"/>
  </w:num>
  <w:num w:numId="16">
    <w:abstractNumId w:val="21"/>
  </w:num>
  <w:num w:numId="17">
    <w:abstractNumId w:val="11"/>
  </w:num>
  <w:num w:numId="18">
    <w:abstractNumId w:val="29"/>
  </w:num>
  <w:num w:numId="19">
    <w:abstractNumId w:val="3"/>
  </w:num>
  <w:num w:numId="20">
    <w:abstractNumId w:val="12"/>
  </w:num>
  <w:num w:numId="21">
    <w:abstractNumId w:val="25"/>
  </w:num>
  <w:num w:numId="22">
    <w:abstractNumId w:val="16"/>
  </w:num>
  <w:num w:numId="23">
    <w:abstractNumId w:val="9"/>
  </w:num>
  <w:num w:numId="24">
    <w:abstractNumId w:val="14"/>
  </w:num>
  <w:num w:numId="25">
    <w:abstractNumId w:val="26"/>
  </w:num>
  <w:num w:numId="26">
    <w:abstractNumId w:val="5"/>
  </w:num>
  <w:num w:numId="27">
    <w:abstractNumId w:val="22"/>
  </w:num>
  <w:num w:numId="28">
    <w:abstractNumId w:val="6"/>
  </w:num>
  <w:num w:numId="29">
    <w:abstractNumId w:val="2"/>
  </w:num>
  <w:num w:numId="30">
    <w:abstractNumId w:val="4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2DCC"/>
    <w:rsid w:val="003F3B52"/>
    <w:rsid w:val="00493E5F"/>
    <w:rsid w:val="00571407"/>
    <w:rsid w:val="0077714A"/>
    <w:rsid w:val="00AF2DCC"/>
    <w:rsid w:val="00B6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07"/>
  </w:style>
  <w:style w:type="paragraph" w:styleId="2">
    <w:name w:val="heading 2"/>
    <w:basedOn w:val="a"/>
    <w:link w:val="20"/>
    <w:uiPriority w:val="9"/>
    <w:qFormat/>
    <w:rsid w:val="00AF2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2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2D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2D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F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DCC"/>
    <w:rPr>
      <w:b/>
      <w:bCs/>
    </w:rPr>
  </w:style>
  <w:style w:type="character" w:styleId="a5">
    <w:name w:val="Emphasis"/>
    <w:basedOn w:val="a0"/>
    <w:uiPriority w:val="20"/>
    <w:qFormat/>
    <w:rsid w:val="00AF2DCC"/>
    <w:rPr>
      <w:i/>
      <w:iCs/>
    </w:rPr>
  </w:style>
  <w:style w:type="character" w:styleId="a6">
    <w:name w:val="Hyperlink"/>
    <w:basedOn w:val="a0"/>
    <w:uiPriority w:val="99"/>
    <w:semiHidden/>
    <w:unhideWhenUsed/>
    <w:rsid w:val="00AF2DC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F2D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F2DC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AF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AF2DCC"/>
  </w:style>
  <w:style w:type="paragraph" w:customStyle="1" w:styleId="comment-form-author">
    <w:name w:val="comment-form-author"/>
    <w:basedOn w:val="a"/>
    <w:rsid w:val="00AF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AF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AF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comment">
    <w:name w:val="comment-form-comment"/>
    <w:basedOn w:val="a"/>
    <w:rsid w:val="00AF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F2D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F2DC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2DC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F2D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1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rn-school103.ucoz.ru/111/2013-2014/komissija_po_uregkl_sporov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4028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2020-02-26T12:51:00Z</dcterms:created>
  <dcterms:modified xsi:type="dcterms:W3CDTF">2020-02-26T12:51:00Z</dcterms:modified>
</cp:coreProperties>
</file>